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738" w:rsidRPr="000113D7" w:rsidRDefault="00A965AE">
      <w:pPr>
        <w:pStyle w:val="10"/>
        <w:keepNext/>
        <w:keepLines/>
        <w:shd w:val="clear" w:color="auto" w:fill="auto"/>
        <w:spacing w:after="244"/>
        <w:ind w:left="40" w:right="20"/>
        <w:rPr>
          <w:sz w:val="28"/>
        </w:rPr>
      </w:pPr>
      <w:bookmarkStart w:id="0" w:name="bookmark0"/>
      <w:r w:rsidRPr="000113D7">
        <w:rPr>
          <w:sz w:val="28"/>
        </w:rPr>
        <w:t>Інформація про виконання рішень міської ради щодо розміщення тимчасових споруд для провадження підприємницької діяльності в м. Лубни</w:t>
      </w:r>
      <w:bookmarkEnd w:id="0"/>
    </w:p>
    <w:p w:rsidR="00BF5738" w:rsidRPr="000113D7" w:rsidRDefault="00A965AE">
      <w:pPr>
        <w:pStyle w:val="a5"/>
        <w:shd w:val="clear" w:color="auto" w:fill="auto"/>
        <w:spacing w:before="0"/>
        <w:ind w:left="40" w:right="20"/>
        <w:rPr>
          <w:sz w:val="28"/>
        </w:rPr>
      </w:pPr>
      <w:r w:rsidRPr="000113D7">
        <w:rPr>
          <w:sz w:val="28"/>
        </w:rPr>
        <w:t>Встановлення павільйонів, кіосків та інших малих архітектурних форм соціально-культурного, побутового, торговельного та іншого призначення для провадження підприємницької діяльності, в м. Лубни, до набуття чинності „Порядку розміщення малих архітектурних ф</w:t>
      </w:r>
      <w:r w:rsidRPr="000113D7">
        <w:rPr>
          <w:sz w:val="28"/>
        </w:rPr>
        <w:t>орм для провадження підприємницької діяльності", що затверджено постановою Кабінету Міністрів України від 26 серпня 2009 р. №982, дозволялось суб'єктам підприємницької діяльності, за рішенням виконкому міської ради, на орендованій земельній ділянці. В пері</w:t>
      </w:r>
      <w:r w:rsidRPr="000113D7">
        <w:rPr>
          <w:sz w:val="28"/>
        </w:rPr>
        <w:t>од дії даного порядку який втратив чинність 25.05.2011 р. згідно Постанови КМУ № 548, розміщення малих архітектурних форм здійснювалось на підставі рішення Лубенської міської ради, на земельній ділянці, що надавалась суб'єкту господарської діяльності в тим</w:t>
      </w:r>
      <w:r w:rsidRPr="000113D7">
        <w:rPr>
          <w:sz w:val="28"/>
        </w:rPr>
        <w:t>часове користування за договором сервітуту. На сьогоднішній день встановлення ТС регламентується Положенням про порядок розміщення тимчасових споруд для провадження підприємницької діяльності у м. Лубни, що затверджено рішенням міської ради від 30 жовтня 2</w:t>
      </w:r>
      <w:r w:rsidRPr="000113D7">
        <w:rPr>
          <w:sz w:val="28"/>
        </w:rPr>
        <w:t>012р. Дане Положення розроблено з метою врегулювання питання сплати власниками ТС коштів за право користування земельними ділянками під ТС оскільки Порядок розміщення тимчасових споруд для провадження підприємницької діяльності затверджений наказом Мінрегі</w:t>
      </w:r>
      <w:r w:rsidRPr="000113D7">
        <w:rPr>
          <w:sz w:val="28"/>
        </w:rPr>
        <w:t>онбуду №244 від 21.10.2011 року не враховує даного питання. Згідно Положення єдиною підставою для встановлення ТС є оформлення права на користування земельною ділянкою та паспорт прив'язки.</w:t>
      </w:r>
    </w:p>
    <w:p w:rsidR="00BF5738" w:rsidRPr="000113D7" w:rsidRDefault="00A965AE">
      <w:pPr>
        <w:pStyle w:val="a5"/>
        <w:shd w:val="clear" w:color="auto" w:fill="auto"/>
        <w:spacing w:before="0"/>
        <w:ind w:left="40" w:right="20"/>
        <w:rPr>
          <w:sz w:val="28"/>
        </w:rPr>
      </w:pPr>
      <w:r w:rsidRPr="000113D7">
        <w:rPr>
          <w:sz w:val="28"/>
        </w:rPr>
        <w:t>На сьогоднішній день по місту налічується 62 ТС. Міською радою над</w:t>
      </w:r>
      <w:r w:rsidRPr="000113D7">
        <w:rPr>
          <w:sz w:val="28"/>
        </w:rPr>
        <w:t xml:space="preserve">ано дозволи на укладення договорів особистого строкового сервітуту для розміщення ТС різного цільового призначення для здійснення підприємницької діяльності та видачу паспортів прив'язки 53 суб'єктам господарювання із них 19 в 2012 році та 44 в 2013 році. </w:t>
      </w:r>
      <w:r w:rsidRPr="000113D7">
        <w:rPr>
          <w:sz w:val="28"/>
        </w:rPr>
        <w:t>За ними: укладено договорів сервітуту - на 49 об'єктів із них 11 в 2012 році та 38 в 2013 році на загальну суму - 264986 грн. За договорами оренди в яких ще не вичерпався термін дії - 9 об'єктів. Розроблено та надано власникам 26 паспортів прив'язки ТС. 10</w:t>
      </w:r>
      <w:r w:rsidRPr="000113D7">
        <w:rPr>
          <w:sz w:val="28"/>
        </w:rPr>
        <w:t xml:space="preserve"> власникам відмовлено в розміщенні ТС на пл. Ярмарковій, та по вул. Садова, 13. За рішеннями міської ради в установлені строки власникам направлено листи з вимогою демонтувати ТС. Періодично проводиться моніторинг виконання рішень міської ради по ТС, за ре</w:t>
      </w:r>
      <w:r w:rsidRPr="000113D7">
        <w:rPr>
          <w:sz w:val="28"/>
        </w:rPr>
        <w:t>зультатами якого власникам надсилаються попередження всього направлено 53 листи, про необхідність виконання вимог Положення. ТС власників, що не оформили паспорти прив'язки підлягають знесенню. Рішенням міської ради від 15 лютого 2013 року організацією, шо</w:t>
      </w:r>
      <w:r w:rsidRPr="000113D7">
        <w:rPr>
          <w:sz w:val="28"/>
        </w:rPr>
        <w:t xml:space="preserve"> здійснюватиме знесення таких ТС визначено Лубенське комунальне ЖЕУ. ЛК ЖЕУ направлено листа (1-17/104 від 10.04.2013 р.) з переліком ТС, що підлягають примусовому знесенню На 14 об'єктах зафіксовані порушення (відхилення від наданих графічних матеріалів, </w:t>
      </w:r>
      <w:r w:rsidRPr="000113D7">
        <w:rPr>
          <w:sz w:val="28"/>
        </w:rPr>
        <w:t>недотримання термінів оренди,</w:t>
      </w:r>
      <w:r w:rsidRPr="000113D7">
        <w:rPr>
          <w:sz w:val="28"/>
        </w:rPr>
        <w:br w:type="page"/>
      </w:r>
    </w:p>
    <w:p w:rsidR="00BF5738" w:rsidRPr="000113D7" w:rsidRDefault="00A965AE">
      <w:pPr>
        <w:pStyle w:val="a5"/>
        <w:shd w:val="clear" w:color="auto" w:fill="auto"/>
        <w:spacing w:before="0"/>
        <w:ind w:left="20" w:right="20" w:firstLine="0"/>
        <w:jc w:val="left"/>
        <w:rPr>
          <w:sz w:val="28"/>
        </w:rPr>
      </w:pPr>
      <w:r w:rsidRPr="000113D7">
        <w:rPr>
          <w:rStyle w:val="a6"/>
          <w:sz w:val="28"/>
        </w:rPr>
        <w:lastRenderedPageBreak/>
        <w:t>утримання в неналежному стані та т. і.), на вимогу управління 12 з них усунуто самими власниками ТС.</w:t>
      </w:r>
    </w:p>
    <w:p w:rsidR="00BF5738" w:rsidRPr="000113D7" w:rsidRDefault="00A965AE" w:rsidP="000113D7">
      <w:pPr>
        <w:pStyle w:val="a5"/>
        <w:shd w:val="clear" w:color="auto" w:fill="auto"/>
        <w:spacing w:before="0"/>
        <w:ind w:left="20" w:right="20" w:firstLine="480"/>
        <w:rPr>
          <w:sz w:val="28"/>
          <w:lang w:val="uk-UA"/>
        </w:rPr>
      </w:pPr>
      <w:r w:rsidRPr="000113D7">
        <w:rPr>
          <w:rStyle w:val="a6"/>
          <w:sz w:val="28"/>
        </w:rPr>
        <w:t>Продовження терміну на розміщення ТС в центрі міста за адресами: вул. Радянська, вул. Г. Тютюнника, вул. Я. Мудрого, вул. Мо</w:t>
      </w:r>
      <w:r w:rsidRPr="000113D7">
        <w:rPr>
          <w:rStyle w:val="a6"/>
          <w:sz w:val="28"/>
        </w:rPr>
        <w:t>настирська, вул. Садова можливе лише на підставі рішення міської ради, після отримання відповідного погодження у відділі комунального господарства та в управлінні містобудування та архітектури згідно рішення міської ради від 20 травня 201</w:t>
      </w:r>
      <w:r w:rsidR="000113D7">
        <w:rPr>
          <w:rStyle w:val="a6"/>
          <w:sz w:val="28"/>
          <w:lang w:val="uk-UA"/>
        </w:rPr>
        <w:t>1р.</w:t>
      </w:r>
    </w:p>
    <w:p w:rsidR="00BF5738" w:rsidRPr="000113D7" w:rsidRDefault="00A965AE">
      <w:pPr>
        <w:pStyle w:val="a5"/>
        <w:shd w:val="clear" w:color="auto" w:fill="auto"/>
        <w:spacing w:before="0" w:after="1260"/>
        <w:ind w:left="20" w:right="20" w:firstLine="480"/>
        <w:rPr>
          <w:sz w:val="28"/>
        </w:rPr>
      </w:pPr>
      <w:r w:rsidRPr="000113D7">
        <w:rPr>
          <w:rStyle w:val="a6"/>
          <w:sz w:val="28"/>
        </w:rPr>
        <w:t xml:space="preserve">Управління містобудування та архітектури перед подовженням терміну дії паспорту прив'язки ТС, перевіряє відповідність її містобудівній документації, виконання умов договору на право користування земельною ділянкою, зовнішній вигляд та санітарний стан як </w:t>
      </w:r>
      <w:r w:rsidRPr="000113D7">
        <w:rPr>
          <w:rStyle w:val="a6"/>
          <w:sz w:val="28"/>
        </w:rPr>
        <w:t>самої ТС так і прилеглої території. При втраті естетичного вигляду в паспорт прив'язки закладається оновлення зовнішніх фасадів.</w:t>
      </w:r>
    </w:p>
    <w:p w:rsidR="000113D7" w:rsidRDefault="00A965AE">
      <w:pPr>
        <w:pStyle w:val="a5"/>
        <w:shd w:val="clear" w:color="auto" w:fill="auto"/>
        <w:spacing w:before="0"/>
        <w:ind w:left="20" w:right="20" w:firstLine="0"/>
        <w:jc w:val="left"/>
        <w:rPr>
          <w:rStyle w:val="a6"/>
          <w:sz w:val="28"/>
          <w:lang w:val="uk-UA"/>
        </w:rPr>
      </w:pPr>
      <w:r w:rsidRPr="000113D7">
        <w:rPr>
          <w:rStyle w:val="a6"/>
          <w:sz w:val="28"/>
        </w:rPr>
        <w:t xml:space="preserve">Начальник </w:t>
      </w:r>
      <w:r w:rsidR="000113D7">
        <w:rPr>
          <w:rStyle w:val="a6"/>
          <w:sz w:val="28"/>
          <w:lang w:val="uk-UA"/>
        </w:rPr>
        <w:t>відділу</w:t>
      </w:r>
      <w:r w:rsidRPr="000113D7">
        <w:rPr>
          <w:rStyle w:val="a6"/>
          <w:sz w:val="28"/>
        </w:rPr>
        <w:t xml:space="preserve"> містобудування </w:t>
      </w:r>
    </w:p>
    <w:p w:rsidR="000113D7" w:rsidRPr="000113D7" w:rsidRDefault="000113D7" w:rsidP="000113D7">
      <w:pPr>
        <w:pStyle w:val="a5"/>
        <w:framePr w:h="250" w:wrap="around" w:vAnchor="text" w:hAnchor="page" w:x="9164" w:y="144"/>
        <w:shd w:val="clear" w:color="auto" w:fill="auto"/>
        <w:spacing w:before="0" w:line="250" w:lineRule="exact"/>
        <w:ind w:left="100" w:firstLine="0"/>
        <w:jc w:val="left"/>
        <w:rPr>
          <w:sz w:val="28"/>
        </w:rPr>
      </w:pPr>
      <w:r w:rsidRPr="000113D7">
        <w:rPr>
          <w:rStyle w:val="a6"/>
          <w:sz w:val="28"/>
        </w:rPr>
        <w:t>А.Г. Шмонденко</w:t>
      </w:r>
    </w:p>
    <w:p w:rsidR="00BF5738" w:rsidRPr="000113D7" w:rsidRDefault="00A965AE">
      <w:pPr>
        <w:pStyle w:val="a5"/>
        <w:shd w:val="clear" w:color="auto" w:fill="auto"/>
        <w:spacing w:before="0"/>
        <w:ind w:left="20" w:right="20" w:firstLine="0"/>
        <w:jc w:val="left"/>
        <w:rPr>
          <w:sz w:val="28"/>
        </w:rPr>
      </w:pPr>
      <w:r w:rsidRPr="000113D7">
        <w:rPr>
          <w:rStyle w:val="a6"/>
          <w:sz w:val="28"/>
        </w:rPr>
        <w:t>та архітектури</w:t>
      </w:r>
    </w:p>
    <w:sectPr w:rsidR="00BF5738" w:rsidRPr="000113D7" w:rsidSect="000113D7">
      <w:type w:val="continuous"/>
      <w:pgSz w:w="11905" w:h="16837"/>
      <w:pgMar w:top="1336" w:right="480" w:bottom="1346" w:left="1134"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5AE" w:rsidRDefault="00A965AE" w:rsidP="00BF5738">
      <w:r>
        <w:separator/>
      </w:r>
    </w:p>
  </w:endnote>
  <w:endnote w:type="continuationSeparator" w:id="0">
    <w:p w:rsidR="00A965AE" w:rsidRDefault="00A965AE" w:rsidP="00BF5738">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5AE" w:rsidRDefault="00A965AE"/>
  </w:footnote>
  <w:footnote w:type="continuationSeparator" w:id="0">
    <w:p w:rsidR="00A965AE" w:rsidRDefault="00A965AE"/>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BF5738"/>
    <w:rsid w:val="000113D7"/>
    <w:rsid w:val="00A965AE"/>
    <w:rsid w:val="00BF573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F5738"/>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F5738"/>
    <w:rPr>
      <w:color w:val="0066CC"/>
      <w:u w:val="single"/>
    </w:rPr>
  </w:style>
  <w:style w:type="character" w:customStyle="1" w:styleId="a4">
    <w:name w:val="Основний текст_"/>
    <w:basedOn w:val="a0"/>
    <w:link w:val="a5"/>
    <w:rsid w:val="00BF5738"/>
    <w:rPr>
      <w:rFonts w:ascii="Times New Roman" w:eastAsia="Times New Roman" w:hAnsi="Times New Roman" w:cs="Times New Roman"/>
      <w:b w:val="0"/>
      <w:bCs w:val="0"/>
      <w:i w:val="0"/>
      <w:iCs w:val="0"/>
      <w:smallCaps w:val="0"/>
      <w:strike w:val="0"/>
      <w:spacing w:val="0"/>
      <w:sz w:val="25"/>
      <w:szCs w:val="25"/>
    </w:rPr>
  </w:style>
  <w:style w:type="character" w:customStyle="1" w:styleId="a6">
    <w:name w:val="Основний текст"/>
    <w:basedOn w:val="a4"/>
    <w:rsid w:val="00BF5738"/>
    <w:rPr>
      <w:spacing w:val="0"/>
    </w:rPr>
  </w:style>
  <w:style w:type="character" w:customStyle="1" w:styleId="1">
    <w:name w:val="Заголовок №1_"/>
    <w:basedOn w:val="a0"/>
    <w:link w:val="10"/>
    <w:rsid w:val="00BF5738"/>
    <w:rPr>
      <w:rFonts w:ascii="Times New Roman" w:eastAsia="Times New Roman" w:hAnsi="Times New Roman" w:cs="Times New Roman"/>
      <w:b w:val="0"/>
      <w:bCs w:val="0"/>
      <w:i w:val="0"/>
      <w:iCs w:val="0"/>
      <w:smallCaps w:val="0"/>
      <w:strike w:val="0"/>
      <w:spacing w:val="10"/>
      <w:sz w:val="25"/>
      <w:szCs w:val="25"/>
    </w:rPr>
  </w:style>
  <w:style w:type="paragraph" w:customStyle="1" w:styleId="a5">
    <w:name w:val="Основний текст"/>
    <w:basedOn w:val="a"/>
    <w:link w:val="a4"/>
    <w:rsid w:val="00BF5738"/>
    <w:pPr>
      <w:shd w:val="clear" w:color="auto" w:fill="FFFFFF"/>
      <w:spacing w:before="240" w:line="322" w:lineRule="exact"/>
      <w:ind w:firstLine="520"/>
      <w:jc w:val="both"/>
    </w:pPr>
    <w:rPr>
      <w:rFonts w:ascii="Times New Roman" w:eastAsia="Times New Roman" w:hAnsi="Times New Roman" w:cs="Times New Roman"/>
      <w:sz w:val="25"/>
      <w:szCs w:val="25"/>
    </w:rPr>
  </w:style>
  <w:style w:type="paragraph" w:customStyle="1" w:styleId="10">
    <w:name w:val="Заголовок №1"/>
    <w:basedOn w:val="a"/>
    <w:link w:val="1"/>
    <w:rsid w:val="00BF5738"/>
    <w:pPr>
      <w:shd w:val="clear" w:color="auto" w:fill="FFFFFF"/>
      <w:spacing w:after="240" w:line="326" w:lineRule="exact"/>
      <w:ind w:firstLine="120"/>
      <w:jc w:val="both"/>
      <w:outlineLvl w:val="0"/>
    </w:pPr>
    <w:rPr>
      <w:rFonts w:ascii="Times New Roman" w:eastAsia="Times New Roman" w:hAnsi="Times New Roman" w:cs="Times New Roman"/>
      <w:b/>
      <w:bCs/>
      <w:spacing w:val="10"/>
      <w:sz w:val="25"/>
      <w:szCs w:val="25"/>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2480</Words>
  <Characters>1414</Characters>
  <Application>Microsoft Office Word</Application>
  <DocSecurity>0</DocSecurity>
  <Lines>11</Lines>
  <Paragraphs>7</Paragraphs>
  <ScaleCrop>false</ScaleCrop>
  <Company/>
  <LinksUpToDate>false</LinksUpToDate>
  <CharactersWithSpaces>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кадастр</dc:creator>
  <cp:lastModifiedBy>кадастр</cp:lastModifiedBy>
  <cp:revision>1</cp:revision>
  <dcterms:created xsi:type="dcterms:W3CDTF">2014-06-06T11:32:00Z</dcterms:created>
  <dcterms:modified xsi:type="dcterms:W3CDTF">2014-06-06T11:35:00Z</dcterms:modified>
</cp:coreProperties>
</file>